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5184"/>
        <w:gridCol w:w="5184"/>
      </w:tblGrid>
      <w:tr>
        <w:tc>
          <w:tcPr>
            <w:tcW w:type="dxa" w:w="6624"/>
            <w:shd w:fill="0E2A47"/>
            <w:tcBorders>
              <w:top w:val="single" w:sz="0" w:color="0E2A47"/>
              <w:left w:val="single" w:sz="0" w:color="0E2A47"/>
              <w:bottom w:val="single" w:sz="0" w:color="0E2A47"/>
              <w:right w:val="single" w:sz="0" w:color="0E2A47"/>
            </w:tcBorders>
            <w:tcMar>
              <w:top w:w="150" w:type="dxa"/>
              <w:start w:w="160" w:type="dxa"/>
              <w:bottom w:w="150" w:type="dxa"/>
              <w:end w:w="160" w:type="dxa"/>
            </w:tcMar>
            <w:vAlign w:val="center"/>
          </w:tcPr>
          <w:p>
            <w:pPr>
              <w:jc w:val="left"/>
            </w:pPr>
            <w:r>
              <w:drawing>
                <wp:inline xmlns:a="http://schemas.openxmlformats.org/drawingml/2006/main" xmlns:pic="http://schemas.openxmlformats.org/drawingml/2006/picture">
                  <wp:extent cx="3794760" cy="772505"/>
                  <wp:docPr id="1" name="Picture 1"/>
                  <wp:cNvGraphicFramePr>
                    <a:graphicFrameLocks noChangeAspect="1"/>
                  </wp:cNvGraphicFramePr>
                  <a:graphic>
                    <a:graphicData uri="http://schemas.openxmlformats.org/drawingml/2006/picture">
                      <pic:pic>
                        <pic:nvPicPr>
                          <pic:cNvPr id="0" name="ismile_clean_logo_white.png"/>
                          <pic:cNvPicPr/>
                        </pic:nvPicPr>
                        <pic:blipFill>
                          <a:blip r:embed="rId9"/>
                          <a:stretch>
                            <a:fillRect/>
                          </a:stretch>
                        </pic:blipFill>
                        <pic:spPr>
                          <a:xfrm>
                            <a:off x="0" y="0"/>
                            <a:ext cx="3794760" cy="772505"/>
                          </a:xfrm>
                          <a:prstGeom prst="rect"/>
                        </pic:spPr>
                      </pic:pic>
                    </a:graphicData>
                  </a:graphic>
                </wp:inline>
              </w:drawing>
            </w:r>
          </w:p>
        </w:tc>
        <w:tc>
          <w:tcPr>
            <w:tcW w:type="dxa" w:w="3672"/>
            <w:shd w:fill="0E2A47"/>
            <w:tcBorders>
              <w:top w:val="single" w:sz="0" w:color="0E2A47"/>
              <w:left w:val="single" w:sz="0" w:color="0E2A47"/>
              <w:bottom w:val="single" w:sz="0" w:color="0E2A47"/>
              <w:right w:val="single" w:sz="0" w:color="0E2A47"/>
            </w:tcBorders>
            <w:tcMar>
              <w:top w:w="150" w:type="dxa"/>
              <w:start w:w="160" w:type="dxa"/>
              <w:bottom w:w="150" w:type="dxa"/>
              <w:end w:w="160" w:type="dxa"/>
            </w:tcMar>
            <w:vAlign w:val="center"/>
          </w:tcPr>
          <w:p>
            <w:pPr>
              <w:jc w:val="right"/>
            </w:pPr>
            <w:r>
              <w:rPr>
                <w:rFonts w:ascii="Arial" w:hAnsi="Arial"/>
                <w:b/>
                <w:i w:val="0"/>
                <w:color w:val="FFFFFF"/>
                <w:sz w:val="22"/>
              </w:rPr>
              <w:t>SEPTEMBER 24-25, 2026</w:t>
            </w:r>
            <w:r>
              <w:br/>
            </w:r>
            <w:r>
              <w:rPr>
                <w:rFonts w:ascii="Arial" w:hAnsi="Arial"/>
                <w:b w:val="0"/>
                <w:i w:val="0"/>
                <w:color w:val="D6E4F2"/>
                <w:sz w:val="20"/>
              </w:rPr>
              <w:t>Orlando, Florida</w:t>
            </w:r>
            <w:r>
              <w:br/>
            </w:r>
            <w:r>
              <w:rPr>
                <w:rFonts w:ascii="Arial" w:hAnsi="Arial"/>
                <w:b w:val="0"/>
                <w:i w:val="0"/>
                <w:color w:val="D6E4F2"/>
                <w:sz w:val="19"/>
              </w:rPr>
              <w:t>In-person + Virtual Options</w:t>
            </w:r>
          </w:p>
        </w:tc>
      </w:tr>
    </w:tbl>
    <w:p>
      <w:pPr>
        <w:spacing w:before="280" w:after="40"/>
        <w:jc w:val="center"/>
      </w:pPr>
      <w:r>
        <w:rPr>
          <w:rFonts w:ascii="Arial" w:hAnsi="Arial"/>
          <w:b/>
          <w:i w:val="0"/>
          <w:color w:val="0E2A47"/>
          <w:sz w:val="36"/>
        </w:rPr>
        <w:t>Conference Attendance Justification Letter</w:t>
      </w:r>
    </w:p>
    <w:p>
      <w:pPr>
        <w:jc w:val="center"/>
      </w:pPr>
      <w:r>
        <w:rPr>
          <w:rFonts w:ascii="Arial" w:hAnsi="Arial"/>
          <w:b w:val="0"/>
          <w:i w:val="0"/>
          <w:color w:val="2F5D8A"/>
          <w:sz w:val="21"/>
        </w:rPr>
        <w:t>A customizable approval request for command staff and agency leadership</w:t>
      </w:r>
    </w:p>
    <w:tbl>
      <w:tblPr>
        <w:tblW w:type="auto" w:w="0"/>
        <w:jc w:val="center"/>
        <w:tblLayout w:type="fixed"/>
        <w:tblLook w:firstColumn="1" w:firstRow="1" w:lastColumn="0" w:lastRow="0" w:noHBand="0" w:noVBand="1" w:val="04A0"/>
      </w:tblPr>
      <w:tblGrid>
        <w:gridCol w:w="3456"/>
        <w:gridCol w:w="3456"/>
        <w:gridCol w:w="3456"/>
      </w:tblGrid>
      <w:tr>
        <w:tc>
          <w:tcPr>
            <w:tcW w:type="dxa" w:w="3240"/>
            <w:shd w:fill="F4F6F8"/>
            <w:tcBorders>
              <w:top w:val="single" w:sz="6" w:color="D9E2EC"/>
              <w:left w:val="single" w:sz="6" w:color="D9E2EC"/>
              <w:bottom w:val="single" w:sz="6" w:color="D9E2EC"/>
              <w:right w:val="single" w:sz="6" w:color="D9E2EC"/>
            </w:tcBorders>
            <w:tcMar>
              <w:top w:w="100" w:type="dxa"/>
              <w:start w:w="90" w:type="dxa"/>
              <w:bottom w:w="100" w:type="dxa"/>
              <w:end w:w="90" w:type="dxa"/>
            </w:tcMar>
          </w:tcPr>
          <w:p>
            <w:pPr>
              <w:jc w:val="center"/>
            </w:pPr>
            <w:r>
              <w:rPr>
                <w:rFonts w:ascii="Arial" w:hAnsi="Arial"/>
                <w:b/>
                <w:i w:val="0"/>
                <w:color w:val="2F5D8A"/>
                <w:sz w:val="14"/>
              </w:rPr>
              <w:t>EVENT</w:t>
            </w:r>
            <w:r>
              <w:br/>
            </w:r>
            <w:r>
              <w:rPr>
                <w:rFonts w:ascii="Arial" w:hAnsi="Arial"/>
                <w:b/>
                <w:i w:val="0"/>
                <w:color w:val="101820"/>
                <w:sz w:val="16"/>
              </w:rPr>
              <w:t>iSMILE Conference</w:t>
            </w:r>
          </w:p>
        </w:tc>
        <w:tc>
          <w:tcPr>
            <w:tcW w:type="dxa" w:w="3240"/>
            <w:shd w:fill="F4F6F8"/>
            <w:tcBorders>
              <w:top w:val="single" w:sz="6" w:color="D9E2EC"/>
              <w:left w:val="single" w:sz="6" w:color="D9E2EC"/>
              <w:bottom w:val="single" w:sz="6" w:color="D9E2EC"/>
              <w:right w:val="single" w:sz="6" w:color="D9E2EC"/>
            </w:tcBorders>
            <w:tcMar>
              <w:top w:w="100" w:type="dxa"/>
              <w:start w:w="90" w:type="dxa"/>
              <w:bottom w:w="100" w:type="dxa"/>
              <w:end w:w="90" w:type="dxa"/>
            </w:tcMar>
          </w:tcPr>
          <w:p>
            <w:pPr>
              <w:jc w:val="center"/>
            </w:pPr>
            <w:r>
              <w:rPr>
                <w:rFonts w:ascii="Arial" w:hAnsi="Arial"/>
                <w:b/>
                <w:i w:val="0"/>
                <w:color w:val="2F5D8A"/>
                <w:sz w:val="14"/>
              </w:rPr>
              <w:t>DATES</w:t>
            </w:r>
            <w:r>
              <w:br/>
            </w:r>
            <w:r>
              <w:rPr>
                <w:rFonts w:ascii="Arial" w:hAnsi="Arial"/>
                <w:b/>
                <w:i w:val="0"/>
                <w:color w:val="101820"/>
                <w:sz w:val="16"/>
              </w:rPr>
              <w:t>Sept. 24-25, 2026</w:t>
            </w:r>
          </w:p>
        </w:tc>
        <w:tc>
          <w:tcPr>
            <w:tcW w:type="dxa" w:w="3816"/>
            <w:shd w:fill="F4F6F8"/>
            <w:tcBorders>
              <w:top w:val="single" w:sz="6" w:color="D9E2EC"/>
              <w:left w:val="single" w:sz="6" w:color="D9E2EC"/>
              <w:bottom w:val="single" w:sz="6" w:color="D9E2EC"/>
              <w:right w:val="single" w:sz="6" w:color="D9E2EC"/>
            </w:tcBorders>
            <w:tcMar>
              <w:top w:w="100" w:type="dxa"/>
              <w:start w:w="90" w:type="dxa"/>
              <w:bottom w:w="100" w:type="dxa"/>
              <w:end w:w="90" w:type="dxa"/>
            </w:tcMar>
          </w:tcPr>
          <w:p>
            <w:pPr>
              <w:jc w:val="center"/>
            </w:pPr>
            <w:r>
              <w:rPr>
                <w:rFonts w:ascii="Arial" w:hAnsi="Arial"/>
                <w:b/>
                <w:i w:val="0"/>
                <w:color w:val="2F5D8A"/>
                <w:sz w:val="14"/>
              </w:rPr>
              <w:t>VENUE</w:t>
            </w:r>
            <w:r>
              <w:br/>
            </w:r>
            <w:r>
              <w:rPr>
                <w:rFonts w:ascii="Arial" w:hAnsi="Arial"/>
                <w:b/>
                <w:i w:val="0"/>
                <w:color w:val="101820"/>
                <w:sz w:val="16"/>
              </w:rPr>
              <w:t>Embassy Suites Orlando Downtown</w:t>
            </w:r>
          </w:p>
        </w:tc>
      </w:tr>
    </w:tbl>
    <w:p>
      <w:pPr>
        <w:spacing w:before="200" w:after="80"/>
      </w:pPr>
      <w:r>
        <w:rPr>
          <w:rFonts w:ascii="Arial" w:hAnsi="Arial"/>
          <w:b/>
          <w:i w:val="0"/>
          <w:color w:val="0E2A47"/>
          <w:sz w:val="26"/>
        </w:rPr>
        <w:t>Approval Request Template</w:t>
      </w:r>
    </w:p>
    <w:p>
      <w:pPr>
        <w:spacing w:after="0"/>
      </w:pPr>
      <w:r>
        <w:rPr>
          <w:rFonts w:ascii="Arial" w:hAnsi="Arial"/>
          <w:b w:val="0"/>
          <w:i w:val="0"/>
          <w:color w:val="101820"/>
          <w:sz w:val="21"/>
        </w:rPr>
        <w:t>[Date]</w:t>
      </w:r>
    </w:p>
    <w:p>
      <w:pPr>
        <w:spacing w:after="0"/>
      </w:pPr>
      <w:r>
        <w:rPr>
          <w:rFonts w:ascii="Arial" w:hAnsi="Arial"/>
          <w:b w:val="0"/>
          <w:i w:val="0"/>
          <w:color w:val="101820"/>
          <w:sz w:val="21"/>
        </w:rPr>
        <w:t>[Rank/Title and Name of Approving Official]</w:t>
      </w:r>
    </w:p>
    <w:p>
      <w:pPr>
        <w:spacing w:after="0"/>
      </w:pPr>
      <w:r>
        <w:rPr>
          <w:rFonts w:ascii="Arial" w:hAnsi="Arial"/>
          <w:b w:val="0"/>
          <w:i w:val="0"/>
          <w:color w:val="101820"/>
          <w:sz w:val="21"/>
        </w:rPr>
        <w:t>[Agency Name]</w:t>
      </w:r>
    </w:p>
    <w:p>
      <w:pPr>
        <w:spacing w:after="0"/>
      </w:pPr>
      <w:r>
        <w:rPr>
          <w:rFonts w:ascii="Arial" w:hAnsi="Arial"/>
          <w:b w:val="0"/>
          <w:i w:val="0"/>
          <w:color w:val="101820"/>
          <w:sz w:val="21"/>
        </w:rPr>
        <w:t>[Address or Division]</w:t>
      </w:r>
    </w:p>
    <w:p>
      <w:pPr>
        <w:spacing w:before="160"/>
      </w:pPr>
      <w:r>
        <w:rPr>
          <w:rFonts w:ascii="Arial" w:hAnsi="Arial"/>
          <w:b/>
          <w:i w:val="0"/>
          <w:color w:val="101820"/>
          <w:sz w:val="21"/>
        </w:rPr>
        <w:t>Subject: Request for Approval to Attend the 2026 iSMILE Conference</w:t>
      </w:r>
    </w:p>
    <w:p>
      <w:pPr>
        <w:spacing w:after="100"/>
      </w:pPr>
      <w:r>
        <w:rPr>
          <w:rFonts w:ascii="Arial" w:hAnsi="Arial"/>
          <w:b w:val="0"/>
          <w:i w:val="0"/>
          <w:color w:val="101820"/>
          <w:sz w:val="20"/>
        </w:rPr>
        <w:t>Dear [Rank/Title and Last Name],</w:t>
      </w:r>
    </w:p>
    <w:p>
      <w:pPr>
        <w:spacing w:after="100"/>
      </w:pPr>
      <w:r>
        <w:rPr>
          <w:rFonts w:ascii="Arial" w:hAnsi="Arial"/>
          <w:b w:val="0"/>
          <w:i w:val="0"/>
          <w:color w:val="101820"/>
          <w:sz w:val="20"/>
        </w:rPr>
        <w:t>I am requesting approval to attend the 2026 iSMILE Conference, Investigative Social Media in Law Enforcement, taking place September 24-25, 2026, at the Embassy Suites by Hilton Orlando Downtown in Orlando, Florida. The conference is designed for detectives, analysts, investigators, intelligence personnel, RTCC staff, cybercrime units, internal affairs, threat assessment teams, PIOs who support investigations, and command staff responsible for investigative or digital operations.</w:t>
      </w:r>
    </w:p>
    <w:p>
      <w:pPr>
        <w:spacing w:after="100"/>
      </w:pPr>
      <w:r>
        <w:rPr>
          <w:rFonts w:ascii="Arial" w:hAnsi="Arial"/>
          <w:b w:val="0"/>
          <w:i w:val="0"/>
          <w:color w:val="101820"/>
          <w:sz w:val="20"/>
        </w:rPr>
        <w:t>This training directly supports our agency's need to better understand how online behavior, social media activity, open-source intelligence, and digital evidence impact modern investigations. The conference focuses on practical workflows that can be applied immediately in case work, intelligence gathering, threat monitoring, digital evidence preservation, and courtroom-ready documentation.</w:t>
      </w:r>
    </w:p>
    <w:tbl>
      <w:tblPr>
        <w:tblW w:type="auto" w:w="0"/>
        <w:jc w:val="center"/>
        <w:tblLook w:firstColumn="1" w:firstRow="1" w:lastColumn="0" w:lastRow="0" w:noHBand="0" w:noVBand="1" w:val="04A0"/>
      </w:tblPr>
      <w:tblGrid>
        <w:gridCol w:w="10368"/>
      </w:tblGrid>
      <w:tr>
        <w:tc>
          <w:tcPr>
            <w:tcW w:type="dxa" w:w="10368"/>
            <w:shd w:fill="EAF2FB"/>
            <w:tcBorders>
              <w:top w:val="single" w:sz="8" w:color="2F5D8A"/>
              <w:left w:val="single" w:sz="8" w:color="2F5D8A"/>
              <w:bottom w:val="single" w:sz="8" w:color="2F5D8A"/>
              <w:right w:val="single" w:sz="8" w:color="2F5D8A"/>
            </w:tcBorders>
            <w:tcMar>
              <w:top w:w="120" w:type="dxa"/>
              <w:start w:w="160" w:type="dxa"/>
              <w:bottom w:w="120" w:type="dxa"/>
              <w:end w:w="160" w:type="dxa"/>
            </w:tcMar>
          </w:tcPr>
          <w:p>
            <w:r>
              <w:rPr>
                <w:rFonts w:ascii="Arial" w:hAnsi="Arial"/>
                <w:b/>
                <w:i w:val="0"/>
                <w:color w:val="0E2A47"/>
                <w:sz w:val="20"/>
              </w:rPr>
              <w:t xml:space="preserve">Strategic value to the agency: </w:t>
            </w:r>
            <w:r>
              <w:rPr>
                <w:rFonts w:ascii="Arial" w:hAnsi="Arial"/>
                <w:b w:val="0"/>
                <w:i w:val="0"/>
                <w:color w:val="101820"/>
                <w:sz w:val="20"/>
              </w:rPr>
              <w:t>iSMILE provides training on the investigative side of social media, including OSINT, digital intelligence, social media leads, online subject development, geolocation clues, and evidence documentation.</w:t>
            </w:r>
          </w:p>
        </w:tc>
      </w:tr>
    </w:tbl>
    <w:p>
      <w:pPr>
        <w:spacing w:after="60"/>
      </w:pPr>
      <w:r>
        <w:rPr>
          <w:rFonts w:ascii="Arial" w:hAnsi="Arial"/>
          <w:b/>
          <w:i w:val="0"/>
          <w:color w:val="101820"/>
          <w:sz w:val="20"/>
        </w:rPr>
        <w:t>Key training areas include:</w:t>
      </w:r>
    </w:p>
    <w:p>
      <w:pPr>
        <w:pStyle w:val="ListBullet"/>
        <w:spacing w:after="20"/>
        <w:ind w:left="0"/>
      </w:pPr>
      <w:r>
        <w:rPr>
          <w:rFonts w:ascii="Arial" w:hAnsi="Arial"/>
          <w:b w:val="0"/>
          <w:i w:val="0"/>
          <w:color w:val="101820"/>
          <w:sz w:val="19"/>
        </w:rPr>
        <w:t>Social Media Investigations 101: foundational workflows for finding, documenting, and interpreting public social media activity.</w:t>
      </w:r>
    </w:p>
    <w:p>
      <w:pPr>
        <w:pStyle w:val="ListBullet"/>
        <w:spacing w:after="20"/>
        <w:ind w:left="0"/>
      </w:pPr>
      <w:r>
        <w:rPr>
          <w:rFonts w:ascii="Arial" w:hAnsi="Arial"/>
          <w:b w:val="0"/>
          <w:i w:val="0"/>
          <w:color w:val="101820"/>
          <w:sz w:val="19"/>
        </w:rPr>
        <w:t>OSINT Tradecraft for Investigators: search techniques, username pivots, image checks, link analysis, and investigative documentation.</w:t>
      </w:r>
    </w:p>
    <w:p>
      <w:pPr>
        <w:pStyle w:val="ListBullet"/>
        <w:spacing w:after="20"/>
        <w:ind w:left="0"/>
      </w:pPr>
      <w:r>
        <w:rPr>
          <w:rFonts w:ascii="Arial" w:hAnsi="Arial"/>
          <w:b w:val="0"/>
          <w:i w:val="0"/>
          <w:color w:val="101820"/>
          <w:sz w:val="19"/>
        </w:rPr>
        <w:t>Online Subject Development: building stronger digital profiles around people, aliases, accounts, groups, and networks.</w:t>
      </w:r>
    </w:p>
    <w:p>
      <w:pPr>
        <w:pStyle w:val="ListBullet"/>
        <w:spacing w:after="20"/>
        <w:ind w:left="0"/>
      </w:pPr>
      <w:r>
        <w:rPr>
          <w:rFonts w:ascii="Arial" w:hAnsi="Arial"/>
          <w:b w:val="0"/>
          <w:i w:val="0"/>
          <w:color w:val="101820"/>
          <w:sz w:val="19"/>
        </w:rPr>
        <w:t>Threat Monitoring and Behavioral Indicators: identifying concerning online behavior, escalation patterns, and public safety risks.</w:t>
      </w:r>
    </w:p>
    <w:p>
      <w:pPr>
        <w:pStyle w:val="ListBullet"/>
        <w:spacing w:after="20"/>
        <w:ind w:left="0"/>
      </w:pPr>
      <w:r>
        <w:rPr>
          <w:rFonts w:ascii="Arial" w:hAnsi="Arial"/>
          <w:b w:val="0"/>
          <w:i w:val="0"/>
          <w:color w:val="101820"/>
          <w:sz w:val="19"/>
        </w:rPr>
        <w:t>Digital Evidence Preservation: properly capturing, organizing, labeling, and preserving online findings for reports and case files.</w:t>
      </w:r>
    </w:p>
    <w:p>
      <w:pPr>
        <w:pStyle w:val="ListBullet"/>
        <w:spacing w:after="20"/>
        <w:ind w:left="0"/>
      </w:pPr>
      <w:r>
        <w:rPr>
          <w:rFonts w:ascii="Arial" w:hAnsi="Arial"/>
          <w:b w:val="0"/>
          <w:i w:val="0"/>
          <w:color w:val="101820"/>
          <w:sz w:val="19"/>
        </w:rPr>
        <w:t>Geolocation and Location-Based Clues: using public posts, images, timestamps, landmarks, and context to support investigative leads.</w:t>
      </w:r>
    </w:p>
    <w:p>
      <w:pPr>
        <w:pStyle w:val="ListBullet"/>
        <w:spacing w:after="20"/>
        <w:ind w:left="0"/>
      </w:pPr>
      <w:r>
        <w:rPr>
          <w:rFonts w:ascii="Arial" w:hAnsi="Arial"/>
          <w:b w:val="0"/>
          <w:i w:val="0"/>
          <w:color w:val="101820"/>
          <w:sz w:val="19"/>
        </w:rPr>
        <w:t>RTCCs and Social Media: incorporating public social media monitoring into operational awareness.</w:t>
      </w:r>
    </w:p>
    <w:p>
      <w:pPr>
        <w:pStyle w:val="ListBullet"/>
        <w:spacing w:after="20"/>
        <w:ind w:left="0"/>
      </w:pPr>
      <w:r>
        <w:rPr>
          <w:rFonts w:ascii="Arial" w:hAnsi="Arial"/>
          <w:b w:val="0"/>
          <w:i w:val="0"/>
          <w:color w:val="101820"/>
          <w:sz w:val="19"/>
        </w:rPr>
        <w:t>Courtroom-Ready Reporting: turning online research into clean, professional, defensible investigative reports.</w:t>
      </w:r>
    </w:p>
    <w:p>
      <w:pPr>
        <w:spacing w:before="200" w:after="80"/>
      </w:pPr>
      <w:r>
        <w:rPr>
          <w:rFonts w:ascii="Arial" w:hAnsi="Arial"/>
          <w:b/>
          <w:i w:val="0"/>
          <w:color w:val="0E2A47"/>
          <w:sz w:val="26"/>
        </w:rPr>
        <w:t>Expected Return on Investment</w:t>
      </w:r>
    </w:p>
    <w:p>
      <w:pPr>
        <w:pStyle w:val="ListBullet"/>
        <w:spacing w:after="20"/>
        <w:ind w:left="0"/>
      </w:pPr>
      <w:r>
        <w:rPr>
          <w:rFonts w:ascii="Arial" w:hAnsi="Arial"/>
          <w:b w:val="0"/>
          <w:i w:val="0"/>
          <w:color w:val="101820"/>
          <w:sz w:val="19"/>
        </w:rPr>
        <w:t>Improved ability to identify and document public-facing digital evidence connected to investigations.</w:t>
      </w:r>
    </w:p>
    <w:p>
      <w:pPr>
        <w:pStyle w:val="ListBullet"/>
        <w:spacing w:after="20"/>
        <w:ind w:left="0"/>
      </w:pPr>
      <w:r>
        <w:rPr>
          <w:rFonts w:ascii="Arial" w:hAnsi="Arial"/>
          <w:b w:val="0"/>
          <w:i w:val="0"/>
          <w:color w:val="101820"/>
          <w:sz w:val="19"/>
        </w:rPr>
        <w:t>Stronger investigative workflows for social media leads, online identifiers, accounts, aliases, and networks.</w:t>
      </w:r>
    </w:p>
    <w:p>
      <w:pPr>
        <w:pStyle w:val="ListBullet"/>
        <w:spacing w:after="20"/>
        <w:ind w:left="0"/>
      </w:pPr>
      <w:r>
        <w:rPr>
          <w:rFonts w:ascii="Arial" w:hAnsi="Arial"/>
          <w:b w:val="0"/>
          <w:i w:val="0"/>
          <w:color w:val="101820"/>
          <w:sz w:val="19"/>
        </w:rPr>
        <w:t>Better awareness of emerging online threats and behavioral indicators that may affect officer safety and public safety.</w:t>
      </w:r>
    </w:p>
    <w:p>
      <w:pPr>
        <w:pStyle w:val="ListBullet"/>
        <w:spacing w:after="20"/>
        <w:ind w:left="0"/>
      </w:pPr>
      <w:r>
        <w:rPr>
          <w:rFonts w:ascii="Arial" w:hAnsi="Arial"/>
          <w:b w:val="0"/>
          <w:i w:val="0"/>
          <w:color w:val="101820"/>
          <w:sz w:val="19"/>
        </w:rPr>
        <w:t>More consistent documentation practices for preserving online findings and supporting reports, case files, and prosecution readiness.</w:t>
      </w:r>
    </w:p>
    <w:p>
      <w:pPr>
        <w:pStyle w:val="ListBullet"/>
        <w:spacing w:after="20"/>
        <w:ind w:left="0"/>
      </w:pPr>
      <w:r>
        <w:rPr>
          <w:rFonts w:ascii="Arial" w:hAnsi="Arial"/>
          <w:b w:val="0"/>
          <w:i w:val="0"/>
          <w:color w:val="101820"/>
          <w:sz w:val="19"/>
        </w:rPr>
        <w:t>Networking with investigators, analysts, and public safety professionals facing similar digital investigative challenges.</w:t>
      </w:r>
    </w:p>
    <w:p>
      <w:pPr>
        <w:pStyle w:val="ListBullet"/>
        <w:spacing w:after="20"/>
        <w:ind w:left="0"/>
      </w:pPr>
      <w:r>
        <w:rPr>
          <w:rFonts w:ascii="Arial" w:hAnsi="Arial"/>
          <w:b w:val="0"/>
          <w:i w:val="0"/>
          <w:color w:val="101820"/>
          <w:sz w:val="19"/>
        </w:rPr>
        <w:t>Certificate of training and documentation of completed training hours.</w:t>
      </w:r>
    </w:p>
    <w:p>
      <w:pPr>
        <w:spacing w:before="200" w:after="80"/>
      </w:pPr>
      <w:r>
        <w:rPr>
          <w:rFonts w:ascii="Arial" w:hAnsi="Arial"/>
          <w:b/>
          <w:i w:val="0"/>
          <w:color w:val="0E2A47"/>
          <w:sz w:val="26"/>
        </w:rPr>
        <w:t>Estimated Registration and Travel Information</w:t>
      </w:r>
    </w:p>
    <w:tbl>
      <w:tblPr>
        <w:tblW w:type="auto" w:w="0"/>
        <w:jc w:val="center"/>
        <w:tblLayout w:type="fixed"/>
        <w:tblLook w:firstColumn="1" w:firstRow="1" w:lastColumn="0" w:lastRow="0" w:noHBand="0" w:noVBand="1" w:val="04A0"/>
      </w:tblPr>
      <w:tblGrid>
        <w:gridCol w:w="5184"/>
        <w:gridCol w:w="5184"/>
      </w:tblGrid>
      <w:tr>
        <w:tc>
          <w:tcPr>
            <w:tcW w:type="dxa" w:w="33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i w:val="0"/>
                <w:color w:val="0E2A47"/>
                <w:sz w:val="18"/>
              </w:rPr>
              <w:t>Virtual Pass</w:t>
            </w:r>
          </w:p>
        </w:tc>
        <w:tc>
          <w:tcPr>
            <w:tcW w:type="dxa" w:w="69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val="0"/>
                <w:i w:val="0"/>
                <w:color w:val="101820"/>
                <w:sz w:val="18"/>
              </w:rPr>
              <w:t>$595, includes live access, 3 months on-demand replay, certificate of training, and 1-year iSMILE Platform membership.</w:t>
            </w:r>
          </w:p>
        </w:tc>
      </w:tr>
      <w:tr>
        <w:tc>
          <w:tcPr>
            <w:tcW w:type="dxa" w:w="3312"/>
            <w:shd w:fill="F7FAFC"/>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i w:val="0"/>
                <w:color w:val="0E2A47"/>
                <w:sz w:val="18"/>
              </w:rPr>
              <w:t>Early Bird In-Person</w:t>
            </w:r>
          </w:p>
        </w:tc>
        <w:tc>
          <w:tcPr>
            <w:tcW w:type="dxa" w:w="6912"/>
            <w:shd w:fill="F7FAFC"/>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val="0"/>
                <w:i w:val="0"/>
                <w:color w:val="101820"/>
                <w:sz w:val="18"/>
              </w:rPr>
              <w:t>$749, includes full in-person access, breakfast and lunch, certificate of training, networking sessions, and 1-year iSMILE Platform membership.</w:t>
            </w:r>
          </w:p>
        </w:tc>
      </w:tr>
      <w:tr>
        <w:tc>
          <w:tcPr>
            <w:tcW w:type="dxa" w:w="33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i w:val="0"/>
                <w:color w:val="0E2A47"/>
                <w:sz w:val="18"/>
              </w:rPr>
              <w:t>Standard In-Person</w:t>
            </w:r>
          </w:p>
        </w:tc>
        <w:tc>
          <w:tcPr>
            <w:tcW w:type="dxa" w:w="69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val="0"/>
                <w:i w:val="0"/>
                <w:color w:val="101820"/>
                <w:sz w:val="18"/>
              </w:rPr>
              <w:t>$895, includes full in-person access, breakfast and lunch, certificate of training, networking sessions, and 1-year iSMILE Platform membership.</w:t>
            </w:r>
          </w:p>
        </w:tc>
      </w:tr>
      <w:tr>
        <w:tc>
          <w:tcPr>
            <w:tcW w:type="dxa" w:w="3312"/>
            <w:shd w:fill="F7FAFC"/>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i w:val="0"/>
                <w:color w:val="0E2A47"/>
                <w:sz w:val="18"/>
              </w:rPr>
              <w:t>Hotel Rate</w:t>
            </w:r>
          </w:p>
        </w:tc>
        <w:tc>
          <w:tcPr>
            <w:tcW w:type="dxa" w:w="6912"/>
            <w:shd w:fill="F7FAFC"/>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val="0"/>
                <w:i w:val="0"/>
                <w:color w:val="101820"/>
                <w:sz w:val="18"/>
              </w:rPr>
              <w:t>$179/night at Embassy Suites by Hilton Orlando Downtown.</w:t>
            </w:r>
          </w:p>
        </w:tc>
      </w:tr>
      <w:tr>
        <w:tc>
          <w:tcPr>
            <w:tcW w:type="dxa" w:w="33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i w:val="0"/>
                <w:color w:val="0E2A47"/>
                <w:sz w:val="18"/>
              </w:rPr>
              <w:t>Invoice Option</w:t>
            </w:r>
          </w:p>
        </w:tc>
        <w:tc>
          <w:tcPr>
            <w:tcW w:type="dxa" w:w="6912"/>
            <w:shd w:fill="FFFFFF"/>
            <w:tcBorders>
              <w:top w:val="single" w:sz="4" w:color="D9E2EC"/>
              <w:left w:val="single" w:sz="4" w:color="D9E2EC"/>
              <w:bottom w:val="single" w:sz="4" w:color="D9E2EC"/>
              <w:right w:val="single" w:sz="4" w:color="D9E2EC"/>
            </w:tcBorders>
            <w:tcMar>
              <w:top w:w="85" w:type="dxa"/>
              <w:start w:w="110" w:type="dxa"/>
              <w:bottom w:w="85" w:type="dxa"/>
              <w:end w:w="110" w:type="dxa"/>
            </w:tcMar>
          </w:tcPr>
          <w:p>
            <w:r>
              <w:rPr>
                <w:rFonts w:ascii="Arial" w:hAnsi="Arial"/>
                <w:b w:val="0"/>
                <w:i w:val="0"/>
                <w:color w:val="101820"/>
                <w:sz w:val="18"/>
              </w:rPr>
              <w:t>Agencies that need to register now and pay later may contact anthony@smileconference.com for invoice options.</w:t>
            </w:r>
          </w:p>
        </w:tc>
      </w:tr>
    </w:tbl>
    <w:p>
      <w:pPr>
        <w:spacing w:before="120" w:after="100"/>
      </w:pPr>
      <w:r>
        <w:rPr>
          <w:rFonts w:ascii="Arial" w:hAnsi="Arial"/>
          <w:b w:val="0"/>
          <w:i w:val="0"/>
          <w:color w:val="101820"/>
          <w:sz w:val="20"/>
        </w:rPr>
        <w:t>If approved, I will provide a brief summary of key takeaways, recommended investigative workflows, and any relevant resources that may benefit our agency after the conference.</w:t>
      </w:r>
    </w:p>
    <w:p>
      <w:pPr>
        <w:spacing w:after="100"/>
      </w:pPr>
      <w:r>
        <w:rPr>
          <w:rFonts w:ascii="Arial" w:hAnsi="Arial"/>
          <w:b w:val="0"/>
          <w:i w:val="0"/>
          <w:color w:val="101820"/>
          <w:sz w:val="20"/>
        </w:rPr>
        <w:t>Thank you for considering this request. I believe this training will provide practical value to our agency and help strengthen our ability to navigate the digital evidence trail in modern investigations.</w:t>
      </w:r>
    </w:p>
    <w:p>
      <w:pPr>
        <w:spacing w:after="0"/>
      </w:pPr>
      <w:r>
        <w:rPr>
          <w:rFonts w:ascii="Arial" w:hAnsi="Arial"/>
          <w:b w:val="0"/>
          <w:i w:val="0"/>
          <w:color w:val="101820"/>
          <w:sz w:val="21"/>
        </w:rPr>
        <w:t>Respectfully,</w:t>
      </w:r>
    </w:p>
    <w:p>
      <w:pPr>
        <w:spacing w:after="0"/>
      </w:pPr>
      <w:r>
        <w:rPr>
          <w:rFonts w:ascii="Arial" w:hAnsi="Arial"/>
          <w:b w:val="0"/>
          <w:i w:val="0"/>
          <w:color w:val="101820"/>
          <w:sz w:val="21"/>
        </w:rPr>
        <w:t>[Your Name]</w:t>
      </w:r>
    </w:p>
    <w:p>
      <w:pPr>
        <w:spacing w:after="0"/>
      </w:pPr>
      <w:r>
        <w:rPr>
          <w:rFonts w:ascii="Arial" w:hAnsi="Arial"/>
          <w:b w:val="0"/>
          <w:i w:val="0"/>
          <w:color w:val="101820"/>
          <w:sz w:val="21"/>
        </w:rPr>
        <w:t>[Rank/Title]</w:t>
      </w:r>
    </w:p>
    <w:p>
      <w:pPr>
        <w:spacing w:after="0"/>
      </w:pPr>
      <w:r>
        <w:rPr>
          <w:rFonts w:ascii="Arial" w:hAnsi="Arial"/>
          <w:b w:val="0"/>
          <w:i w:val="0"/>
          <w:color w:val="101820"/>
          <w:sz w:val="21"/>
        </w:rPr>
        <w:t>[Division/Unit]</w:t>
      </w:r>
    </w:p>
    <w:p>
      <w:pPr>
        <w:spacing w:after="0"/>
      </w:pPr>
      <w:r>
        <w:rPr>
          <w:rFonts w:ascii="Arial" w:hAnsi="Arial"/>
          <w:b w:val="0"/>
          <w:i w:val="0"/>
          <w:color w:val="101820"/>
          <w:sz w:val="21"/>
        </w:rPr>
        <w:t>[Agency Name]</w:t>
      </w:r>
    </w:p>
    <w:p>
      <w:pPr>
        <w:spacing w:after="0"/>
      </w:pPr>
      <w:r>
        <w:rPr>
          <w:rFonts w:ascii="Arial" w:hAnsi="Arial"/>
          <w:b w:val="0"/>
          <w:i w:val="0"/>
          <w:color w:val="101820"/>
          <w:sz w:val="21"/>
        </w:rPr>
        <w:t>[Phone/Email]</w:t>
      </w:r>
    </w:p>
    <w:sectPr w:rsidR="00FC693F" w:rsidRPr="0006063C" w:rsidSect="00034616">
      <w:footerReference w:type="default" r:id="rId10"/>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2F5D8A"/>
        <w:sz w:val="17"/>
      </w:rPr>
      <w:t>iSMILE Conference | Investigative Social Media in Law Enforcement | iSMILEConference.com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